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7E75" w14:textId="77777777" w:rsidR="00F42D7F" w:rsidRPr="00B12598" w:rsidRDefault="00F42D7F" w:rsidP="00502915">
      <w:pPr>
        <w:ind w:right="-334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36" w:rightFromText="36" w:vertAnchor="text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2872"/>
        <w:gridCol w:w="5804"/>
      </w:tblGrid>
      <w:tr w:rsidR="00F42D7F" w:rsidRPr="00C430B4" w14:paraId="79857E78" w14:textId="77777777" w:rsidTr="00496177">
        <w:tc>
          <w:tcPr>
            <w:tcW w:w="1655" w:type="pct"/>
          </w:tcPr>
          <w:p w14:paraId="79857E76" w14:textId="77777777" w:rsidR="00F42D7F" w:rsidRPr="00B12598" w:rsidRDefault="00F42D7F" w:rsidP="00502915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N</w:t>
            </w:r>
            <w:r w:rsidRPr="00BF5016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om du projet</w:t>
            </w:r>
          </w:p>
        </w:tc>
        <w:tc>
          <w:tcPr>
            <w:tcW w:w="3345" w:type="pct"/>
          </w:tcPr>
          <w:p w14:paraId="79857E77" w14:textId="77777777" w:rsidR="00F42D7F" w:rsidRPr="00E16C93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C93">
              <w:rPr>
                <w:rFonts w:ascii="Arial" w:hAnsi="Arial" w:cs="Arial"/>
                <w:color w:val="000000"/>
                <w:sz w:val="20"/>
                <w:szCs w:val="20"/>
              </w:rPr>
              <w:t>ONEE Hydro Réhabilitation</w:t>
            </w:r>
          </w:p>
        </w:tc>
      </w:tr>
      <w:tr w:rsidR="00F42D7F" w:rsidRPr="00B12598" w14:paraId="79857E7B" w14:textId="77777777" w:rsidTr="00496177">
        <w:tc>
          <w:tcPr>
            <w:tcW w:w="1655" w:type="pct"/>
          </w:tcPr>
          <w:p w14:paraId="79857E79" w14:textId="77777777" w:rsidR="00F42D7F" w:rsidRPr="00B12598" w:rsidRDefault="00F42D7F" w:rsidP="00502915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E139CA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Nom du pays</w:t>
            </w:r>
          </w:p>
        </w:tc>
        <w:tc>
          <w:tcPr>
            <w:tcW w:w="3345" w:type="pct"/>
          </w:tcPr>
          <w:p w14:paraId="79857E7A" w14:textId="77777777" w:rsidR="00F42D7F" w:rsidRPr="0000054F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016">
              <w:rPr>
                <w:rFonts w:ascii="Arial" w:hAnsi="Arial" w:cs="Arial"/>
                <w:color w:val="000000"/>
                <w:sz w:val="20"/>
                <w:szCs w:val="20"/>
              </w:rPr>
              <w:t>Maroc</w:t>
            </w:r>
          </w:p>
        </w:tc>
      </w:tr>
      <w:tr w:rsidR="00F42D7F" w:rsidRPr="00B12598" w14:paraId="79857E7E" w14:textId="77777777" w:rsidTr="00496177">
        <w:tc>
          <w:tcPr>
            <w:tcW w:w="1655" w:type="pct"/>
          </w:tcPr>
          <w:p w14:paraId="79857E7C" w14:textId="77777777" w:rsidR="00F42D7F" w:rsidRPr="00B12598" w:rsidRDefault="00F42D7F" w:rsidP="00BF5016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BF5016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Secteur</w:t>
            </w:r>
          </w:p>
        </w:tc>
        <w:tc>
          <w:tcPr>
            <w:tcW w:w="3345" w:type="pct"/>
          </w:tcPr>
          <w:p w14:paraId="79857E7D" w14:textId="77777777" w:rsidR="00F42D7F" w:rsidRPr="0000054F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016">
              <w:rPr>
                <w:rFonts w:ascii="Arial" w:hAnsi="Arial" w:cs="Arial"/>
                <w:color w:val="000000"/>
                <w:sz w:val="20"/>
                <w:szCs w:val="20"/>
              </w:rPr>
              <w:t>Électricité et énergie</w:t>
            </w:r>
          </w:p>
        </w:tc>
      </w:tr>
      <w:tr w:rsidR="00F42D7F" w:rsidRPr="00B12598" w14:paraId="79857E81" w14:textId="77777777" w:rsidTr="00496177">
        <w:tc>
          <w:tcPr>
            <w:tcW w:w="1655" w:type="pct"/>
          </w:tcPr>
          <w:p w14:paraId="79857E7F" w14:textId="77777777" w:rsidR="00F42D7F" w:rsidRPr="00B12598" w:rsidRDefault="00F42D7F" w:rsidP="00502915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Numéro du projet</w:t>
            </w:r>
          </w:p>
        </w:tc>
        <w:tc>
          <w:tcPr>
            <w:tcW w:w="3345" w:type="pct"/>
          </w:tcPr>
          <w:p w14:paraId="79857E80" w14:textId="77777777" w:rsidR="00F42D7F" w:rsidRPr="0000054F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47379</w:t>
            </w:r>
          </w:p>
        </w:tc>
      </w:tr>
      <w:tr w:rsidR="00F42D7F" w:rsidRPr="00B12598" w14:paraId="79857E84" w14:textId="77777777" w:rsidTr="00496177">
        <w:tc>
          <w:tcPr>
            <w:tcW w:w="1655" w:type="pct"/>
          </w:tcPr>
          <w:p w14:paraId="79857E82" w14:textId="77777777" w:rsidR="00F42D7F" w:rsidRPr="00B12598" w:rsidRDefault="00F42D7F" w:rsidP="00502915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BF5016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Source de financement</w:t>
            </w:r>
          </w:p>
        </w:tc>
        <w:tc>
          <w:tcPr>
            <w:tcW w:w="3345" w:type="pct"/>
          </w:tcPr>
          <w:p w14:paraId="79857E83" w14:textId="77777777" w:rsidR="00F42D7F" w:rsidRPr="0000054F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BERD</w:t>
            </w:r>
          </w:p>
        </w:tc>
      </w:tr>
      <w:tr w:rsidR="00F42D7F" w:rsidRPr="00BF5016" w14:paraId="79857E87" w14:textId="77777777" w:rsidTr="00496177">
        <w:tc>
          <w:tcPr>
            <w:tcW w:w="1655" w:type="pct"/>
          </w:tcPr>
          <w:p w14:paraId="79857E85" w14:textId="77777777" w:rsidR="00F42D7F" w:rsidRPr="00B12598" w:rsidRDefault="00F42D7F" w:rsidP="00BF5016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B12598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 xml:space="preserve">Type </w:t>
            </w: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de contrat</w:t>
            </w:r>
          </w:p>
        </w:tc>
        <w:tc>
          <w:tcPr>
            <w:tcW w:w="3345" w:type="pct"/>
          </w:tcPr>
          <w:p w14:paraId="79857E86" w14:textId="77777777" w:rsidR="00F42D7F" w:rsidRPr="00BF5016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Fournitures</w:t>
            </w:r>
            <w:r w:rsidRPr="00BF5016">
              <w:rPr>
                <w:rFonts w:ascii="Arial" w:hAnsi="Arial" w:cs="Arial"/>
                <w:color w:val="000000"/>
                <w:sz w:val="20"/>
                <w:szCs w:val="20"/>
              </w:rPr>
              <w:t>, travaux et services</w:t>
            </w:r>
          </w:p>
        </w:tc>
      </w:tr>
      <w:tr w:rsidR="00F42D7F" w:rsidRPr="00B12598" w14:paraId="79857E8A" w14:textId="77777777" w:rsidTr="00496177">
        <w:tc>
          <w:tcPr>
            <w:tcW w:w="1655" w:type="pct"/>
          </w:tcPr>
          <w:p w14:paraId="79857E88" w14:textId="77777777" w:rsidR="00F42D7F" w:rsidRPr="00E139CA" w:rsidRDefault="00F42D7F" w:rsidP="00BF5016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Type d</w:t>
            </w:r>
            <w:r w:rsidRPr="00E139CA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’avis d’appel d’offre</w:t>
            </w:r>
          </w:p>
        </w:tc>
        <w:tc>
          <w:tcPr>
            <w:tcW w:w="3345" w:type="pct"/>
          </w:tcPr>
          <w:p w14:paraId="79857E89" w14:textId="77777777" w:rsidR="00F42D7F" w:rsidRPr="0000054F" w:rsidRDefault="00F42D7F" w:rsidP="00502915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Avis de Marche</w:t>
            </w:r>
          </w:p>
        </w:tc>
      </w:tr>
      <w:tr w:rsidR="00F42D7F" w:rsidRPr="00B12598" w14:paraId="79857E8D" w14:textId="77777777" w:rsidTr="00496177">
        <w:tc>
          <w:tcPr>
            <w:tcW w:w="1655" w:type="pct"/>
          </w:tcPr>
          <w:p w14:paraId="79857E8B" w14:textId="77777777" w:rsidR="00F42D7F" w:rsidRPr="00B12598" w:rsidRDefault="00F42D7F" w:rsidP="00502915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E139CA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Date d</w:t>
            </w: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e publication</w:t>
            </w:r>
          </w:p>
        </w:tc>
        <w:tc>
          <w:tcPr>
            <w:tcW w:w="3345" w:type="pct"/>
          </w:tcPr>
          <w:p w14:paraId="79857E8C" w14:textId="3D79271D" w:rsidR="00F42D7F" w:rsidRPr="0004526F" w:rsidRDefault="0004526F" w:rsidP="00E139CA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452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31 Aout </w:t>
            </w:r>
            <w:r w:rsidR="00F42D7F" w:rsidRPr="000452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201</w:t>
            </w:r>
            <w:r w:rsidRPr="000452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6</w:t>
            </w:r>
          </w:p>
        </w:tc>
      </w:tr>
      <w:tr w:rsidR="00F42D7F" w:rsidRPr="00B12598" w14:paraId="79857E90" w14:textId="77777777" w:rsidTr="00496177">
        <w:tc>
          <w:tcPr>
            <w:tcW w:w="1655" w:type="pct"/>
          </w:tcPr>
          <w:p w14:paraId="79857E8E" w14:textId="77777777" w:rsidR="00F42D7F" w:rsidRPr="00D86321" w:rsidRDefault="00F42D7F" w:rsidP="00502915">
            <w:pPr>
              <w:ind w:right="-334"/>
              <w:jc w:val="both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D86321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Date de clôture</w:t>
            </w:r>
          </w:p>
        </w:tc>
        <w:tc>
          <w:tcPr>
            <w:tcW w:w="3345" w:type="pct"/>
          </w:tcPr>
          <w:p w14:paraId="79857E8F" w14:textId="426E937B" w:rsidR="00F42D7F" w:rsidRPr="0004526F" w:rsidRDefault="0004526F" w:rsidP="00E16C93">
            <w:pPr>
              <w:ind w:right="-33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452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31</w:t>
            </w:r>
            <w:r w:rsidR="00F42D7F" w:rsidRPr="000452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04526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Aout 2017</w:t>
            </w:r>
          </w:p>
        </w:tc>
      </w:tr>
    </w:tbl>
    <w:p w14:paraId="79857E91" w14:textId="77777777" w:rsidR="00F42D7F" w:rsidRPr="00B12598" w:rsidRDefault="00F42D7F" w:rsidP="00502915">
      <w:pPr>
        <w:numPr>
          <w:ilvl w:val="12"/>
          <w:numId w:val="0"/>
        </w:numPr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9857E92" w14:textId="2A19F2E1" w:rsidR="00F42D7F" w:rsidRPr="00B12598" w:rsidRDefault="00F42D7F" w:rsidP="00502915">
      <w:pPr>
        <w:numPr>
          <w:ilvl w:val="12"/>
          <w:numId w:val="0"/>
        </w:numPr>
        <w:ind w:right="-3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DE MARCHE</w:t>
      </w:r>
      <w:r w:rsidR="0017336B">
        <w:rPr>
          <w:rFonts w:ascii="Arial" w:hAnsi="Arial" w:cs="Arial"/>
          <w:b/>
          <w:sz w:val="20"/>
          <w:szCs w:val="20"/>
        </w:rPr>
        <w:t>S</w:t>
      </w:r>
    </w:p>
    <w:p w14:paraId="79857E93" w14:textId="77777777" w:rsidR="00F42D7F" w:rsidRDefault="00F42D7F" w:rsidP="00F435C6">
      <w:p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</w:p>
    <w:p w14:paraId="79857E94" w14:textId="4D8D8AB0" w:rsidR="00F42D7F" w:rsidRDefault="00F42D7F" w:rsidP="00DA0F7B">
      <w:p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ONEE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a été créé en 2012 suite </w:t>
      </w:r>
      <w:r>
        <w:rPr>
          <w:rFonts w:ascii="Arial" w:hAnsi="Arial" w:cs="Arial"/>
          <w:bCs/>
          <w:iCs/>
          <w:sz w:val="20"/>
          <w:szCs w:val="20"/>
        </w:rPr>
        <w:t>au regroupement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entre l'Office National de l'Electricité, et l'O</w:t>
      </w:r>
      <w:r w:rsidR="00DA0F7B">
        <w:rPr>
          <w:rFonts w:ascii="Arial" w:hAnsi="Arial" w:cs="Arial"/>
          <w:bCs/>
          <w:iCs/>
          <w:sz w:val="20"/>
          <w:szCs w:val="20"/>
        </w:rPr>
        <w:t>ffice National de l'Eau Potable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. </w:t>
      </w:r>
      <w:r>
        <w:rPr>
          <w:rFonts w:ascii="Arial" w:hAnsi="Arial" w:cs="Arial"/>
          <w:bCs/>
          <w:iCs/>
          <w:sz w:val="20"/>
          <w:szCs w:val="20"/>
        </w:rPr>
        <w:t>ONEE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est chargé de fournir </w:t>
      </w:r>
      <w:r>
        <w:rPr>
          <w:rFonts w:ascii="Arial" w:hAnsi="Arial" w:cs="Arial"/>
          <w:bCs/>
          <w:iCs/>
          <w:sz w:val="20"/>
          <w:szCs w:val="20"/>
        </w:rPr>
        <w:t>l’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électricité et </w:t>
      </w:r>
      <w:r>
        <w:rPr>
          <w:rFonts w:ascii="Arial" w:hAnsi="Arial" w:cs="Arial"/>
          <w:bCs/>
          <w:iCs/>
          <w:sz w:val="20"/>
          <w:szCs w:val="20"/>
        </w:rPr>
        <w:t>l’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eau </w:t>
      </w:r>
      <w:r>
        <w:rPr>
          <w:rFonts w:ascii="Arial" w:hAnsi="Arial" w:cs="Arial"/>
          <w:bCs/>
          <w:iCs/>
          <w:sz w:val="20"/>
          <w:szCs w:val="20"/>
        </w:rPr>
        <w:t xml:space="preserve">potable </w:t>
      </w:r>
      <w:r w:rsidR="00DA0F7B">
        <w:rPr>
          <w:rFonts w:ascii="Arial" w:hAnsi="Arial" w:cs="Arial"/>
          <w:bCs/>
          <w:iCs/>
          <w:sz w:val="20"/>
          <w:szCs w:val="20"/>
        </w:rPr>
        <w:t>à ses clients.</w:t>
      </w:r>
    </w:p>
    <w:p w14:paraId="79857E95" w14:textId="77777777" w:rsidR="00F42D7F" w:rsidRDefault="00F42D7F" w:rsidP="00F435C6">
      <w:p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</w:p>
    <w:p w14:paraId="79857E96" w14:textId="25C56F29" w:rsidR="00F42D7F" w:rsidRPr="00DA5DEF" w:rsidRDefault="00F42D7F" w:rsidP="00C971B7">
      <w:p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Projet permettra à l’ONEE de prolonger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de manière significative la durée de vie de</w:t>
      </w:r>
      <w:r>
        <w:rPr>
          <w:rFonts w:ascii="Arial" w:hAnsi="Arial" w:cs="Arial"/>
          <w:bCs/>
          <w:iCs/>
          <w:sz w:val="20"/>
          <w:szCs w:val="20"/>
        </w:rPr>
        <w:t xml:space="preserve"> ses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actifs hydroélectriques ainsi que </w:t>
      </w:r>
      <w:r>
        <w:rPr>
          <w:rFonts w:ascii="Arial" w:hAnsi="Arial" w:cs="Arial"/>
          <w:bCs/>
          <w:iCs/>
          <w:sz w:val="20"/>
          <w:szCs w:val="20"/>
        </w:rPr>
        <w:t>d’améliorer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la </w:t>
      </w:r>
      <w:r w:rsidR="0017336B">
        <w:rPr>
          <w:rFonts w:ascii="Arial" w:hAnsi="Arial" w:cs="Arial"/>
          <w:bCs/>
          <w:iCs/>
          <w:sz w:val="20"/>
          <w:szCs w:val="20"/>
        </w:rPr>
        <w:t>résilience au</w:t>
      </w:r>
      <w:r>
        <w:rPr>
          <w:rFonts w:ascii="Arial" w:hAnsi="Arial" w:cs="Arial"/>
          <w:bCs/>
          <w:iCs/>
          <w:sz w:val="20"/>
          <w:szCs w:val="20"/>
        </w:rPr>
        <w:t xml:space="preserve"> changement </w:t>
      </w:r>
      <w:r w:rsidRPr="00496177">
        <w:rPr>
          <w:rFonts w:ascii="Arial" w:hAnsi="Arial" w:cs="Arial"/>
          <w:bCs/>
          <w:iCs/>
          <w:sz w:val="20"/>
          <w:szCs w:val="20"/>
        </w:rPr>
        <w:t>climat</w:t>
      </w:r>
      <w:r>
        <w:rPr>
          <w:rFonts w:ascii="Arial" w:hAnsi="Arial" w:cs="Arial"/>
          <w:bCs/>
          <w:iCs/>
          <w:sz w:val="20"/>
          <w:szCs w:val="20"/>
        </w:rPr>
        <w:t>ique, leur eff</w:t>
      </w:r>
      <w:r w:rsidR="001A2500">
        <w:rPr>
          <w:rFonts w:ascii="Arial" w:hAnsi="Arial" w:cs="Arial"/>
          <w:bCs/>
          <w:iCs/>
          <w:sz w:val="20"/>
          <w:szCs w:val="20"/>
        </w:rPr>
        <w:t xml:space="preserve">icacité et </w:t>
      </w:r>
      <w:r>
        <w:rPr>
          <w:rFonts w:ascii="Arial" w:hAnsi="Arial" w:cs="Arial"/>
          <w:bCs/>
          <w:iCs/>
          <w:sz w:val="20"/>
          <w:szCs w:val="20"/>
        </w:rPr>
        <w:t>leur sécurité. Le P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rojet comprendra également la </w:t>
      </w:r>
      <w:r>
        <w:rPr>
          <w:rFonts w:ascii="Arial" w:hAnsi="Arial" w:cs="Arial"/>
          <w:bCs/>
          <w:iCs/>
          <w:sz w:val="20"/>
          <w:szCs w:val="20"/>
        </w:rPr>
        <w:t>mise en place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et le financement </w:t>
      </w:r>
      <w:r>
        <w:rPr>
          <w:rFonts w:ascii="Arial" w:hAnsi="Arial" w:cs="Arial"/>
          <w:bCs/>
          <w:iCs/>
          <w:sz w:val="20"/>
          <w:szCs w:val="20"/>
        </w:rPr>
        <w:t>de l’assistance technique à la</w:t>
      </w:r>
      <w:r w:rsidR="001A250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préparation et à l’implémentation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du projet (</w:t>
      </w:r>
      <w:r w:rsidRPr="00B06307">
        <w:rPr>
          <w:rFonts w:ascii="Arial" w:hAnsi="Arial" w:cs="Arial"/>
          <w:bCs/>
          <w:i/>
          <w:iCs/>
          <w:sz w:val="20"/>
          <w:szCs w:val="20"/>
        </w:rPr>
        <w:t xml:space="preserve">Project </w:t>
      </w:r>
      <w:proofErr w:type="spellStart"/>
      <w:r w:rsidRPr="00B06307">
        <w:rPr>
          <w:rFonts w:ascii="Arial" w:hAnsi="Arial" w:cs="Arial"/>
          <w:bCs/>
          <w:i/>
          <w:iCs/>
          <w:sz w:val="20"/>
          <w:szCs w:val="20"/>
        </w:rPr>
        <w:t>Preparation</w:t>
      </w:r>
      <w:proofErr w:type="spellEnd"/>
      <w:r w:rsidRPr="00B06307">
        <w:rPr>
          <w:rFonts w:ascii="Arial" w:hAnsi="Arial" w:cs="Arial"/>
          <w:bCs/>
          <w:i/>
          <w:iCs/>
          <w:sz w:val="20"/>
          <w:szCs w:val="20"/>
        </w:rPr>
        <w:t xml:space="preserve"> and </w:t>
      </w:r>
      <w:proofErr w:type="spellStart"/>
      <w:r w:rsidRPr="00B06307">
        <w:rPr>
          <w:rFonts w:ascii="Arial" w:hAnsi="Arial" w:cs="Arial"/>
          <w:bCs/>
          <w:i/>
          <w:iCs/>
          <w:sz w:val="20"/>
          <w:szCs w:val="20"/>
        </w:rPr>
        <w:t>Implementation</w:t>
      </w:r>
      <w:proofErr w:type="spellEnd"/>
      <w:r w:rsidRPr="00B06307">
        <w:rPr>
          <w:rFonts w:ascii="Arial" w:hAnsi="Arial" w:cs="Arial"/>
          <w:bCs/>
          <w:i/>
          <w:iCs/>
          <w:sz w:val="20"/>
          <w:szCs w:val="20"/>
        </w:rPr>
        <w:t xml:space="preserve"> Unit</w:t>
      </w:r>
      <w:r w:rsidRPr="00B0630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en anglais, 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«PPIU») </w:t>
      </w:r>
      <w:r>
        <w:rPr>
          <w:rFonts w:ascii="Arial" w:hAnsi="Arial" w:cs="Arial"/>
          <w:bCs/>
          <w:iCs/>
          <w:sz w:val="20"/>
          <w:szCs w:val="20"/>
        </w:rPr>
        <w:t>afin de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préparer la conception détaillée </w:t>
      </w:r>
      <w:r>
        <w:rPr>
          <w:rFonts w:ascii="Arial" w:hAnsi="Arial" w:cs="Arial"/>
          <w:bCs/>
          <w:iCs/>
          <w:sz w:val="20"/>
          <w:szCs w:val="20"/>
        </w:rPr>
        <w:t>d</w:t>
      </w:r>
      <w:r w:rsidRPr="00496177">
        <w:rPr>
          <w:rFonts w:ascii="Arial" w:hAnsi="Arial" w:cs="Arial"/>
          <w:bCs/>
          <w:iCs/>
          <w:sz w:val="20"/>
          <w:szCs w:val="20"/>
        </w:rPr>
        <w:t>es tra</w:t>
      </w:r>
      <w:r>
        <w:rPr>
          <w:rFonts w:ascii="Arial" w:hAnsi="Arial" w:cs="Arial"/>
          <w:bCs/>
          <w:iCs/>
          <w:sz w:val="20"/>
          <w:szCs w:val="20"/>
        </w:rPr>
        <w:t xml:space="preserve">vaux et </w:t>
      </w:r>
      <w:r w:rsidRPr="00496177">
        <w:rPr>
          <w:rFonts w:ascii="Arial" w:hAnsi="Arial" w:cs="Arial"/>
          <w:bCs/>
          <w:iCs/>
          <w:sz w:val="20"/>
          <w:szCs w:val="20"/>
        </w:rPr>
        <w:t>les doc</w:t>
      </w:r>
      <w:r>
        <w:rPr>
          <w:rFonts w:ascii="Arial" w:hAnsi="Arial" w:cs="Arial"/>
          <w:bCs/>
          <w:iCs/>
          <w:sz w:val="20"/>
          <w:szCs w:val="20"/>
        </w:rPr>
        <w:t>uments complets d'appels d'offres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>d’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aider </w:t>
      </w:r>
      <w:r>
        <w:rPr>
          <w:rFonts w:ascii="Arial" w:hAnsi="Arial" w:cs="Arial"/>
          <w:bCs/>
          <w:iCs/>
          <w:sz w:val="20"/>
          <w:szCs w:val="20"/>
        </w:rPr>
        <w:t xml:space="preserve">l’ONEE dans 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le processus de passation des marchés et </w:t>
      </w:r>
      <w:r>
        <w:rPr>
          <w:rFonts w:ascii="Arial" w:hAnsi="Arial" w:cs="Arial"/>
          <w:bCs/>
          <w:iCs/>
          <w:sz w:val="20"/>
          <w:szCs w:val="20"/>
        </w:rPr>
        <w:t xml:space="preserve">aussi </w:t>
      </w:r>
      <w:r w:rsidRPr="00496177">
        <w:rPr>
          <w:rFonts w:ascii="Arial" w:hAnsi="Arial" w:cs="Arial"/>
          <w:bCs/>
          <w:iCs/>
          <w:sz w:val="20"/>
          <w:szCs w:val="20"/>
        </w:rPr>
        <w:t>d'assur</w:t>
      </w:r>
      <w:r>
        <w:rPr>
          <w:rFonts w:ascii="Arial" w:hAnsi="Arial" w:cs="Arial"/>
          <w:bCs/>
          <w:iCs/>
          <w:sz w:val="20"/>
          <w:szCs w:val="20"/>
        </w:rPr>
        <w:t>er la bonne mise en œuvre du P</w:t>
      </w:r>
      <w:r w:rsidRPr="00496177">
        <w:rPr>
          <w:rFonts w:ascii="Arial" w:hAnsi="Arial" w:cs="Arial"/>
          <w:bCs/>
          <w:iCs/>
          <w:sz w:val="20"/>
          <w:szCs w:val="20"/>
        </w:rPr>
        <w:t>rojet.</w:t>
      </w:r>
    </w:p>
    <w:p w14:paraId="79857E97" w14:textId="77777777" w:rsidR="00F42D7F" w:rsidRDefault="00F42D7F" w:rsidP="00502915">
      <w:pPr>
        <w:numPr>
          <w:ilvl w:val="12"/>
          <w:numId w:val="0"/>
        </w:num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8AE67AC" w14:textId="153E2C04" w:rsidR="007D6ADF" w:rsidRDefault="00F42D7F" w:rsidP="007D6ADF">
      <w:pPr>
        <w:numPr>
          <w:ilvl w:val="12"/>
          <w:numId w:val="0"/>
        </w:num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P</w:t>
      </w:r>
      <w:r w:rsidRPr="00496177">
        <w:rPr>
          <w:rFonts w:ascii="Arial" w:hAnsi="Arial" w:cs="Arial"/>
          <w:bCs/>
          <w:iCs/>
          <w:sz w:val="20"/>
          <w:szCs w:val="20"/>
        </w:rPr>
        <w:t>rojet proposé</w:t>
      </w:r>
      <w:r>
        <w:rPr>
          <w:rFonts w:ascii="Arial" w:hAnsi="Arial" w:cs="Arial"/>
          <w:bCs/>
          <w:iCs/>
          <w:sz w:val="20"/>
          <w:szCs w:val="20"/>
        </w:rPr>
        <w:t>, dont le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coût total </w:t>
      </w:r>
      <w:r>
        <w:rPr>
          <w:rFonts w:ascii="Arial" w:hAnsi="Arial" w:cs="Arial"/>
          <w:bCs/>
          <w:iCs/>
          <w:sz w:val="20"/>
          <w:szCs w:val="20"/>
        </w:rPr>
        <w:t xml:space="preserve">est 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estimé </w:t>
      </w:r>
      <w:r>
        <w:rPr>
          <w:rFonts w:ascii="Arial" w:hAnsi="Arial" w:cs="Arial"/>
          <w:bCs/>
          <w:iCs/>
          <w:sz w:val="20"/>
          <w:szCs w:val="20"/>
        </w:rPr>
        <w:t>à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</w:t>
      </w:r>
      <w:r w:rsidR="00D621ED">
        <w:rPr>
          <w:rFonts w:ascii="Arial" w:hAnsi="Arial" w:cs="Arial"/>
          <w:bCs/>
          <w:iCs/>
          <w:sz w:val="20"/>
          <w:szCs w:val="20"/>
        </w:rPr>
        <w:t>35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millions d’euros, sera financé par le prêt de la BERD. Le Projet consistera en la maintenance et/ou </w:t>
      </w:r>
      <w:r w:rsidRPr="00496177">
        <w:rPr>
          <w:rFonts w:ascii="Arial" w:hAnsi="Arial" w:cs="Arial"/>
          <w:sz w:val="20"/>
          <w:szCs w:val="20"/>
        </w:rPr>
        <w:t>rénovation</w:t>
      </w:r>
      <w:r>
        <w:rPr>
          <w:rFonts w:ascii="Arial" w:hAnsi="Arial" w:cs="Arial"/>
          <w:bCs/>
          <w:iCs/>
          <w:sz w:val="20"/>
          <w:szCs w:val="20"/>
        </w:rPr>
        <w:t xml:space="preserve"> majeure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de </w:t>
      </w:r>
      <w:r>
        <w:rPr>
          <w:rFonts w:ascii="Arial" w:hAnsi="Arial" w:cs="Arial"/>
          <w:bCs/>
          <w:iCs/>
          <w:sz w:val="20"/>
          <w:szCs w:val="20"/>
        </w:rPr>
        <w:t>plusieurs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centrales hydroélectriques </w:t>
      </w:r>
      <w:r w:rsidR="0017336B" w:rsidRPr="00496177">
        <w:rPr>
          <w:rFonts w:ascii="Arial" w:hAnsi="Arial" w:cs="Arial"/>
          <w:bCs/>
          <w:iCs/>
          <w:sz w:val="20"/>
          <w:szCs w:val="20"/>
        </w:rPr>
        <w:t>et barrages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="001A250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Il</w:t>
      </w:r>
      <w:r w:rsidR="007D6AD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nécessitera </w:t>
      </w:r>
      <w:r>
        <w:rPr>
          <w:rFonts w:ascii="Arial" w:hAnsi="Arial" w:cs="Arial"/>
          <w:bCs/>
          <w:iCs/>
          <w:sz w:val="20"/>
          <w:szCs w:val="20"/>
        </w:rPr>
        <w:t>la passation de marchés de</w:t>
      </w:r>
      <w:r w:rsidRPr="00496177">
        <w:rPr>
          <w:rFonts w:ascii="Arial" w:hAnsi="Arial" w:cs="Arial"/>
          <w:bCs/>
          <w:iCs/>
          <w:sz w:val="20"/>
          <w:szCs w:val="20"/>
        </w:rPr>
        <w:t xml:space="preserve"> biens, travaux et services suivants</w:t>
      </w:r>
      <w:r>
        <w:rPr>
          <w:rFonts w:ascii="Arial" w:hAnsi="Arial" w:cs="Arial"/>
          <w:bCs/>
          <w:iCs/>
          <w:sz w:val="20"/>
          <w:szCs w:val="20"/>
        </w:rPr>
        <w:t xml:space="preserve"> (liste non exhaustive</w:t>
      </w:r>
      <w:bookmarkStart w:id="0" w:name="_Toc443486937"/>
      <w:bookmarkStart w:id="1" w:name="_Toc445467171"/>
      <w:bookmarkStart w:id="2" w:name="_Toc445467239"/>
      <w:bookmarkStart w:id="3" w:name="_Toc445467915"/>
      <w:r w:rsidR="007D6ADF">
        <w:rPr>
          <w:rFonts w:ascii="Arial" w:hAnsi="Arial" w:cs="Arial"/>
          <w:bCs/>
          <w:iCs/>
          <w:sz w:val="20"/>
          <w:szCs w:val="20"/>
        </w:rPr>
        <w:t>)</w:t>
      </w:r>
      <w:r w:rsidR="007D6ADF" w:rsidRPr="00496177">
        <w:rPr>
          <w:rFonts w:ascii="Arial" w:hAnsi="Arial" w:cs="Arial"/>
          <w:bCs/>
          <w:iCs/>
          <w:sz w:val="20"/>
          <w:szCs w:val="20"/>
        </w:rPr>
        <w:t> :</w:t>
      </w:r>
    </w:p>
    <w:p w14:paraId="2B06C7AD" w14:textId="77777777" w:rsidR="007D6ADF" w:rsidRDefault="007D6ADF" w:rsidP="007D6ADF">
      <w:pPr>
        <w:numPr>
          <w:ilvl w:val="12"/>
          <w:numId w:val="0"/>
        </w:num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477D5F3" w14:textId="67D4A0BC" w:rsidR="007D6ADF" w:rsidRPr="007D6ADF" w:rsidRDefault="007D6ADF" w:rsidP="007D6ADF">
      <w:pPr>
        <w:pStyle w:val="Paragraphedeliste"/>
        <w:numPr>
          <w:ilvl w:val="0"/>
          <w:numId w:val="7"/>
        </w:numPr>
        <w:ind w:right="-334"/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 xml:space="preserve">Fourniture et installation de matériels et équipements </w:t>
      </w:r>
      <w:bookmarkEnd w:id="0"/>
      <w:bookmarkEnd w:id="1"/>
      <w:bookmarkEnd w:id="2"/>
      <w:bookmarkEnd w:id="3"/>
      <w:r w:rsidRPr="007D6ADF">
        <w:rPr>
          <w:rFonts w:ascii="Arial" w:hAnsi="Arial" w:cs="Arial"/>
          <w:bCs/>
          <w:iCs/>
          <w:sz w:val="20"/>
          <w:szCs w:val="20"/>
        </w:rPr>
        <w:t xml:space="preserve">pour : </w:t>
      </w:r>
    </w:p>
    <w:p w14:paraId="0457844D" w14:textId="0D65E740" w:rsidR="007D6ADF" w:rsidRP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Kansera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(2x7.2 MW) : R</w:t>
      </w:r>
      <w:r w:rsidRPr="007D6ADF">
        <w:rPr>
          <w:rFonts w:ascii="Arial" w:hAnsi="Arial" w:cs="Arial"/>
          <w:bCs/>
          <w:iCs/>
          <w:sz w:val="20"/>
          <w:szCs w:val="20"/>
        </w:rPr>
        <w:t>énovation des alternateurs ;</w:t>
      </w:r>
    </w:p>
    <w:p w14:paraId="2C7B3A37" w14:textId="65797568" w:rsidR="007D6ADF" w:rsidRP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Imfout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HPP (2x15, 5 MW) :</w:t>
      </w:r>
      <w:r>
        <w:rPr>
          <w:rFonts w:ascii="Arial" w:hAnsi="Arial" w:cs="Arial"/>
          <w:bCs/>
          <w:iCs/>
          <w:sz w:val="20"/>
          <w:szCs w:val="20"/>
        </w:rPr>
        <w:t xml:space="preserve"> R</w:t>
      </w:r>
      <w:r w:rsidRPr="007D6ADF">
        <w:rPr>
          <w:rFonts w:ascii="Arial" w:hAnsi="Arial" w:cs="Arial"/>
          <w:bCs/>
          <w:iCs/>
          <w:sz w:val="20"/>
          <w:szCs w:val="20"/>
        </w:rPr>
        <w:t>énovation des turbines ;</w:t>
      </w:r>
    </w:p>
    <w:p w14:paraId="0E752B52" w14:textId="5962353F" w:rsidR="007D6ADF" w:rsidRP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Taurart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(2x1 MW) : R</w:t>
      </w:r>
      <w:r w:rsidRPr="007D6ADF">
        <w:rPr>
          <w:rFonts w:ascii="Arial" w:hAnsi="Arial" w:cs="Arial"/>
          <w:bCs/>
          <w:iCs/>
          <w:sz w:val="20"/>
          <w:szCs w:val="20"/>
        </w:rPr>
        <w:t>emise en état du complexe suite à une inondation ;</w:t>
      </w:r>
    </w:p>
    <w:p w14:paraId="400BAC60" w14:textId="13879067" w:rsidR="007D6ADF" w:rsidRP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 xml:space="preserve">Bou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Areg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>-(1x6, 4</w:t>
      </w:r>
      <w:r>
        <w:rPr>
          <w:rFonts w:ascii="Arial" w:hAnsi="Arial" w:cs="Arial"/>
          <w:bCs/>
          <w:iCs/>
          <w:sz w:val="20"/>
          <w:szCs w:val="20"/>
        </w:rPr>
        <w:t xml:space="preserve"> MW) : R</w:t>
      </w:r>
      <w:r w:rsidRPr="007D6ADF">
        <w:rPr>
          <w:rFonts w:ascii="Arial" w:hAnsi="Arial" w:cs="Arial"/>
          <w:bCs/>
          <w:iCs/>
          <w:sz w:val="20"/>
          <w:szCs w:val="20"/>
        </w:rPr>
        <w:t>éhabilitation des équipements auxiliaires et installation du système de contrôle et d'acquisition de données (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Supervisory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Control and Data Acquisition « SCADA ») ; </w:t>
      </w:r>
    </w:p>
    <w:p w14:paraId="1AE0B293" w14:textId="7DB3A50F" w:rsid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>Taza (2x320 KW) :</w:t>
      </w:r>
      <w:r>
        <w:rPr>
          <w:rFonts w:ascii="Arial" w:hAnsi="Arial" w:cs="Arial"/>
          <w:bCs/>
          <w:iCs/>
          <w:sz w:val="20"/>
          <w:szCs w:val="20"/>
        </w:rPr>
        <w:t xml:space="preserve"> R</w:t>
      </w:r>
      <w:r w:rsidRPr="007D6ADF">
        <w:rPr>
          <w:rFonts w:ascii="Arial" w:hAnsi="Arial" w:cs="Arial"/>
          <w:bCs/>
          <w:iCs/>
          <w:sz w:val="20"/>
          <w:szCs w:val="20"/>
        </w:rPr>
        <w:t>éhabilitation des équipements auxiliaires et installation du système de contrôle et d'acquisition de données SCADA ;</w:t>
      </w:r>
    </w:p>
    <w:p w14:paraId="699FC485" w14:textId="436B0050" w:rsid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 xml:space="preserve">Bin El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Ouidane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&amp; Ait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Ouarda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(B</w:t>
      </w:r>
      <w:r w:rsidRPr="007D6ADF">
        <w:rPr>
          <w:rFonts w:ascii="Arial" w:hAnsi="Arial" w:cs="Arial"/>
          <w:bCs/>
          <w:iCs/>
          <w:sz w:val="20"/>
          <w:szCs w:val="20"/>
        </w:rPr>
        <w:t>arrage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Pr="007D6ADF">
        <w:rPr>
          <w:rFonts w:ascii="Arial" w:hAnsi="Arial" w:cs="Arial"/>
          <w:bCs/>
          <w:iCs/>
          <w:sz w:val="20"/>
          <w:szCs w:val="20"/>
        </w:rPr>
        <w:t xml:space="preserve">) : </w:t>
      </w:r>
    </w:p>
    <w:p w14:paraId="1A12787F" w14:textId="77777777" w:rsidR="007D6ADF" w:rsidRDefault="007D6ADF" w:rsidP="007D6ADF">
      <w:pPr>
        <w:numPr>
          <w:ilvl w:val="1"/>
          <w:numId w:val="1"/>
        </w:numPr>
        <w:tabs>
          <w:tab w:val="clear" w:pos="1440"/>
          <w:tab w:val="num" w:pos="2268"/>
        </w:tabs>
        <w:ind w:left="2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Lot 1 : Génie civil et auscultation des deux barrages ;</w:t>
      </w:r>
    </w:p>
    <w:p w14:paraId="40A8780E" w14:textId="00C48AC5" w:rsidR="007D6ADF" w:rsidRPr="007D6ADF" w:rsidRDefault="007D6ADF" w:rsidP="007D6ADF">
      <w:pPr>
        <w:numPr>
          <w:ilvl w:val="1"/>
          <w:numId w:val="1"/>
        </w:numPr>
        <w:tabs>
          <w:tab w:val="clear" w:pos="1440"/>
          <w:tab w:val="num" w:pos="2268"/>
        </w:tabs>
        <w:ind w:left="2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Lot 2 : Equipements électromécaniques ;</w:t>
      </w:r>
    </w:p>
    <w:p w14:paraId="31431E8C" w14:textId="647DC108" w:rsidR="007D6ADF" w:rsidRP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Imfout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(B</w:t>
      </w:r>
      <w:r w:rsidRPr="007D6ADF">
        <w:rPr>
          <w:rFonts w:ascii="Arial" w:hAnsi="Arial" w:cs="Arial"/>
          <w:bCs/>
          <w:iCs/>
          <w:sz w:val="20"/>
          <w:szCs w:val="20"/>
        </w:rPr>
        <w:t>arrage) : réhabilitation des évacuateurs des crues.</w:t>
      </w:r>
    </w:p>
    <w:p w14:paraId="2E082A05" w14:textId="77777777" w:rsidR="007D6ADF" w:rsidRDefault="007D6ADF" w:rsidP="007D6ADF">
      <w:pPr>
        <w:numPr>
          <w:ilvl w:val="1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Douarat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(17 MW) : Réparation des vannes d’entrées des groupes ;</w:t>
      </w:r>
      <w:bookmarkStart w:id="4" w:name="_Toc443486938"/>
      <w:bookmarkStart w:id="5" w:name="_Toc445467172"/>
      <w:bookmarkStart w:id="6" w:name="_Toc445467240"/>
      <w:bookmarkStart w:id="7" w:name="_Toc445467916"/>
    </w:p>
    <w:p w14:paraId="19ADEC19" w14:textId="4AA4AA23" w:rsidR="007D6ADF" w:rsidRPr="007D6ADF" w:rsidRDefault="007D6ADF" w:rsidP="007D6AD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</w:rPr>
        <w:t xml:space="preserve">Etudes de faisabilité </w:t>
      </w:r>
      <w:bookmarkEnd w:id="4"/>
      <w:bookmarkEnd w:id="5"/>
      <w:bookmarkEnd w:id="6"/>
      <w:bookmarkEnd w:id="7"/>
      <w:r w:rsidRPr="007D6ADF">
        <w:rPr>
          <w:rFonts w:ascii="Arial" w:hAnsi="Arial" w:cs="Arial"/>
          <w:bCs/>
          <w:iCs/>
          <w:sz w:val="20"/>
        </w:rPr>
        <w:t xml:space="preserve">pour : </w:t>
      </w:r>
    </w:p>
    <w:p w14:paraId="40473574" w14:textId="77777777" w:rsidR="007D6ADF" w:rsidRPr="007D6ADF" w:rsidRDefault="007D6ADF" w:rsidP="007D6ADF">
      <w:pPr>
        <w:numPr>
          <w:ilvl w:val="1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 xml:space="preserve">La réhabilitation de cinq petites centrales hydroélectriques :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Askaw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(0,22MW),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Sefrou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(0,260MW),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Tabant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(0,068MW),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Maachou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(24MW) et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Talambot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(14,2MW) ;</w:t>
      </w:r>
    </w:p>
    <w:p w14:paraId="0416BC19" w14:textId="4227EDE5" w:rsidR="007D6ADF" w:rsidRPr="007D6ADF" w:rsidRDefault="007D6ADF" w:rsidP="007D6AD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bookmarkStart w:id="8" w:name="_Toc443486939"/>
      <w:bookmarkStart w:id="9" w:name="_Toc445467173"/>
      <w:bookmarkStart w:id="10" w:name="_Toc445467241"/>
      <w:bookmarkStart w:id="11" w:name="_Toc445467917"/>
      <w:r w:rsidRPr="007D6ADF">
        <w:rPr>
          <w:rFonts w:ascii="Arial" w:hAnsi="Arial" w:cs="Arial"/>
          <w:bCs/>
          <w:iCs/>
          <w:sz w:val="20"/>
        </w:rPr>
        <w:t>Travaux de réhabilitation déterminés par les études de faisabilité pour :</w:t>
      </w:r>
      <w:bookmarkEnd w:id="8"/>
      <w:bookmarkEnd w:id="9"/>
      <w:bookmarkEnd w:id="10"/>
      <w:bookmarkEnd w:id="11"/>
      <w:r w:rsidRPr="007D6ADF">
        <w:rPr>
          <w:rFonts w:ascii="Arial" w:hAnsi="Arial" w:cs="Arial"/>
          <w:bCs/>
          <w:iCs/>
          <w:sz w:val="20"/>
        </w:rPr>
        <w:t xml:space="preserve"> </w:t>
      </w:r>
    </w:p>
    <w:p w14:paraId="06463433" w14:textId="77777777" w:rsidR="007D6ADF" w:rsidRDefault="007D6ADF" w:rsidP="007D6ADF">
      <w:pPr>
        <w:numPr>
          <w:ilvl w:val="1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 xml:space="preserve">Les six petites centrales hydroélectriques :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Askaw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(0,22MW),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Sefrou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(0,260MW),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Tabant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(0,068MW), Fès Aval (0.945 MW),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Maachou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(24MW) et 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Talambot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 xml:space="preserve"> (14,2MW).</w:t>
      </w:r>
      <w:r w:rsidRPr="007D6ADF" w:rsidDel="004C4598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12" w:name="_Toc443486940"/>
      <w:bookmarkStart w:id="13" w:name="_Toc445467174"/>
      <w:bookmarkStart w:id="14" w:name="_Toc445467242"/>
      <w:bookmarkStart w:id="15" w:name="_Toc445467918"/>
    </w:p>
    <w:p w14:paraId="215A4065" w14:textId="4DCACA8B" w:rsidR="007D6ADF" w:rsidRPr="007D6ADF" w:rsidRDefault="007D6ADF" w:rsidP="007D6AD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</w:rPr>
        <w:t>Les études suivantes</w:t>
      </w:r>
      <w:r w:rsidR="00DC3540">
        <w:rPr>
          <w:rFonts w:ascii="Arial" w:hAnsi="Arial" w:cs="Arial"/>
          <w:bCs/>
          <w:iCs/>
          <w:sz w:val="20"/>
        </w:rPr>
        <w:t xml:space="preserve"> financées par le Don </w:t>
      </w:r>
      <w:bookmarkStart w:id="16" w:name="_GoBack"/>
      <w:bookmarkEnd w:id="16"/>
      <w:r w:rsidRPr="007D6ADF">
        <w:rPr>
          <w:rFonts w:ascii="Arial" w:hAnsi="Arial" w:cs="Arial"/>
          <w:bCs/>
          <w:iCs/>
          <w:sz w:val="20"/>
        </w:rPr>
        <w:t> :</w:t>
      </w:r>
      <w:bookmarkEnd w:id="12"/>
      <w:bookmarkEnd w:id="13"/>
      <w:bookmarkEnd w:id="14"/>
      <w:bookmarkEnd w:id="15"/>
    </w:p>
    <w:p w14:paraId="1E651EDC" w14:textId="77777777" w:rsidR="007D6ADF" w:rsidRPr="007D6ADF" w:rsidRDefault="007D6ADF" w:rsidP="007D6ADF">
      <w:pPr>
        <w:numPr>
          <w:ilvl w:val="1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>Etude d’optimisation de l’exploitation du complexe d’</w:t>
      </w:r>
      <w:proofErr w:type="spellStart"/>
      <w:r w:rsidRPr="007D6ADF">
        <w:rPr>
          <w:rFonts w:ascii="Arial" w:hAnsi="Arial" w:cs="Arial"/>
          <w:bCs/>
          <w:iCs/>
          <w:sz w:val="20"/>
          <w:szCs w:val="20"/>
        </w:rPr>
        <w:t>Afourer</w:t>
      </w:r>
      <w:proofErr w:type="spellEnd"/>
      <w:r w:rsidRPr="007D6ADF">
        <w:rPr>
          <w:rFonts w:ascii="Arial" w:hAnsi="Arial" w:cs="Arial"/>
          <w:bCs/>
          <w:iCs/>
          <w:sz w:val="20"/>
          <w:szCs w:val="20"/>
        </w:rPr>
        <w:t> ;</w:t>
      </w:r>
    </w:p>
    <w:p w14:paraId="285DB24B" w14:textId="77777777" w:rsidR="007D6ADF" w:rsidRPr="007D6ADF" w:rsidRDefault="007D6ADF" w:rsidP="007D6ADF">
      <w:pPr>
        <w:numPr>
          <w:ilvl w:val="1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t>Etude du potentiel de production du parc hydroélectrique du Maroc, incluant les impacts des changements climatiques ;</w:t>
      </w:r>
    </w:p>
    <w:p w14:paraId="1B5ED44A" w14:textId="77777777" w:rsidR="007D6ADF" w:rsidRDefault="007D6ADF" w:rsidP="007D6ADF">
      <w:pPr>
        <w:numPr>
          <w:ilvl w:val="1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  <w:szCs w:val="20"/>
        </w:rPr>
        <w:lastRenderedPageBreak/>
        <w:t>Modélisation et simulation du réseau d’électricité très haute, haute et moyenne tension du Maroc, afin d’établir les capacités d’injection d’énergie de source renouvelable.</w:t>
      </w:r>
      <w:bookmarkStart w:id="17" w:name="_Toc443486941"/>
      <w:bookmarkStart w:id="18" w:name="_Toc445467175"/>
      <w:bookmarkStart w:id="19" w:name="_Toc445467243"/>
      <w:bookmarkStart w:id="20" w:name="_Toc445467919"/>
    </w:p>
    <w:p w14:paraId="2F7D99F6" w14:textId="41E23CE3" w:rsidR="007D6ADF" w:rsidRPr="007D6ADF" w:rsidRDefault="007D6ADF" w:rsidP="007D6AD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6ADF">
        <w:rPr>
          <w:rFonts w:ascii="Arial" w:hAnsi="Arial" w:cs="Arial"/>
          <w:bCs/>
          <w:iCs/>
          <w:sz w:val="20"/>
        </w:rPr>
        <w:t>Prestation de consei</w:t>
      </w:r>
      <w:r w:rsidR="005E7EE8">
        <w:rPr>
          <w:rFonts w:ascii="Arial" w:hAnsi="Arial" w:cs="Arial"/>
          <w:bCs/>
          <w:iCs/>
          <w:sz w:val="20"/>
        </w:rPr>
        <w:t>l auprès de la PPIU</w:t>
      </w:r>
      <w:r w:rsidRPr="007D6ADF">
        <w:rPr>
          <w:rFonts w:ascii="Arial" w:hAnsi="Arial" w:cs="Arial"/>
          <w:bCs/>
          <w:iCs/>
          <w:sz w:val="20"/>
        </w:rPr>
        <w:t>.</w:t>
      </w:r>
      <w:bookmarkEnd w:id="17"/>
      <w:bookmarkEnd w:id="18"/>
      <w:bookmarkEnd w:id="19"/>
      <w:bookmarkEnd w:id="20"/>
      <w:r w:rsidRPr="007D6ADF">
        <w:rPr>
          <w:rFonts w:ascii="Arial" w:hAnsi="Arial" w:cs="Arial"/>
          <w:bCs/>
          <w:iCs/>
          <w:sz w:val="20"/>
        </w:rPr>
        <w:t xml:space="preserve"> </w:t>
      </w:r>
    </w:p>
    <w:p w14:paraId="79857EA8" w14:textId="77777777" w:rsidR="00F42D7F" w:rsidRPr="00DA5DEF" w:rsidRDefault="00F42D7F" w:rsidP="00502915">
      <w:pPr>
        <w:numPr>
          <w:ilvl w:val="12"/>
          <w:numId w:val="0"/>
        </w:numPr>
        <w:ind w:right="-334"/>
        <w:jc w:val="both"/>
        <w:rPr>
          <w:rFonts w:ascii="Arial" w:hAnsi="Arial" w:cs="Arial"/>
          <w:sz w:val="20"/>
          <w:szCs w:val="20"/>
        </w:rPr>
      </w:pPr>
    </w:p>
    <w:p w14:paraId="79857EAA" w14:textId="72A36C0B" w:rsidR="00F42D7F" w:rsidRDefault="00020EAD" w:rsidP="00496177">
      <w:pPr>
        <w:numPr>
          <w:ilvl w:val="12"/>
          <w:numId w:val="0"/>
        </w:numPr>
        <w:ind w:right="-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Certains appels d’offres parmi ceux cités ci-dessus sont lancés, les autres sont en phase de préparation pour lancement.</w:t>
      </w:r>
    </w:p>
    <w:p w14:paraId="4FAF8EA8" w14:textId="77777777" w:rsidR="00020EAD" w:rsidRPr="00496177" w:rsidRDefault="00020EAD" w:rsidP="00496177">
      <w:pPr>
        <w:numPr>
          <w:ilvl w:val="12"/>
          <w:numId w:val="0"/>
        </w:numPr>
        <w:ind w:right="-334"/>
        <w:jc w:val="both"/>
        <w:rPr>
          <w:rFonts w:ascii="Arial" w:hAnsi="Arial" w:cs="Arial"/>
          <w:sz w:val="20"/>
          <w:szCs w:val="20"/>
        </w:rPr>
      </w:pPr>
    </w:p>
    <w:p w14:paraId="79857EAB" w14:textId="77777777" w:rsidR="00F42D7F" w:rsidRDefault="00F42D7F" w:rsidP="00012637">
      <w:pPr>
        <w:numPr>
          <w:ilvl w:val="12"/>
          <w:numId w:val="0"/>
        </w:numPr>
        <w:ind w:right="-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</w:t>
      </w:r>
      <w:r w:rsidRPr="00496177">
        <w:rPr>
          <w:rFonts w:ascii="Arial" w:hAnsi="Arial" w:cs="Arial"/>
          <w:sz w:val="20"/>
          <w:szCs w:val="20"/>
        </w:rPr>
        <w:t>ontrats</w:t>
      </w:r>
      <w:r>
        <w:rPr>
          <w:rFonts w:ascii="Arial" w:hAnsi="Arial" w:cs="Arial"/>
          <w:sz w:val="20"/>
          <w:szCs w:val="20"/>
        </w:rPr>
        <w:t xml:space="preserve"> qui seront financ</w:t>
      </w:r>
      <w:r w:rsidRPr="0049617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par le</w:t>
      </w:r>
      <w:r w:rsidRPr="00496177">
        <w:rPr>
          <w:rFonts w:ascii="Arial" w:hAnsi="Arial" w:cs="Arial"/>
          <w:sz w:val="20"/>
          <w:szCs w:val="20"/>
        </w:rPr>
        <w:t xml:space="preserve"> prêt de </w:t>
      </w:r>
      <w:smartTag w:uri="urn:schemas-microsoft-com:office:smarttags" w:element="PersonName">
        <w:smartTagPr>
          <w:attr w:name="ProductID" w:val="la BERD"/>
        </w:smartTagPr>
        <w:r w:rsidRPr="00496177">
          <w:rPr>
            <w:rFonts w:ascii="Arial" w:hAnsi="Arial" w:cs="Arial"/>
            <w:sz w:val="20"/>
            <w:szCs w:val="20"/>
          </w:rPr>
          <w:t xml:space="preserve">la </w:t>
        </w:r>
        <w:r>
          <w:rPr>
            <w:rFonts w:ascii="Arial" w:hAnsi="Arial" w:cs="Arial"/>
            <w:sz w:val="20"/>
            <w:szCs w:val="20"/>
          </w:rPr>
          <w:t>BERD</w:t>
        </w:r>
      </w:smartTag>
      <w:r w:rsidRPr="00496177">
        <w:rPr>
          <w:rFonts w:ascii="Arial" w:hAnsi="Arial" w:cs="Arial"/>
          <w:sz w:val="20"/>
          <w:szCs w:val="20"/>
        </w:rPr>
        <w:t xml:space="preserve"> seront soumis aux politiques et règles de passation des marchés de </w:t>
      </w:r>
      <w:smartTag w:uri="urn:schemas-microsoft-com:office:smarttags" w:element="PersonName">
        <w:smartTagPr>
          <w:attr w:name="ProductID" w:val="la BERD"/>
        </w:smartTagPr>
        <w:r w:rsidRPr="00496177">
          <w:rPr>
            <w:rFonts w:ascii="Arial" w:hAnsi="Arial" w:cs="Arial"/>
            <w:sz w:val="20"/>
            <w:szCs w:val="20"/>
          </w:rPr>
          <w:t xml:space="preserve">la </w:t>
        </w:r>
        <w:r>
          <w:rPr>
            <w:rFonts w:ascii="Arial" w:hAnsi="Arial" w:cs="Arial"/>
            <w:sz w:val="20"/>
            <w:szCs w:val="20"/>
          </w:rPr>
          <w:t>BERD</w:t>
        </w:r>
      </w:smartTag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2637">
        <w:rPr>
          <w:rFonts w:ascii="Arial" w:hAnsi="Arial" w:cs="Arial"/>
          <w:i/>
          <w:sz w:val="20"/>
          <w:szCs w:val="20"/>
        </w:rPr>
        <w:t>Procurement</w:t>
      </w:r>
      <w:proofErr w:type="spellEnd"/>
      <w:r w:rsidRPr="0001263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12637">
        <w:rPr>
          <w:rFonts w:ascii="Arial" w:hAnsi="Arial" w:cs="Arial"/>
          <w:i/>
          <w:sz w:val="20"/>
          <w:szCs w:val="20"/>
        </w:rPr>
        <w:t>Policies</w:t>
      </w:r>
      <w:proofErr w:type="spellEnd"/>
      <w:r w:rsidRPr="00012637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012637">
        <w:rPr>
          <w:rFonts w:ascii="Arial" w:hAnsi="Arial" w:cs="Arial"/>
          <w:i/>
          <w:sz w:val="20"/>
          <w:szCs w:val="20"/>
        </w:rPr>
        <w:t>Rules</w:t>
      </w:r>
      <w:proofErr w:type="spellEnd"/>
      <w:r>
        <w:rPr>
          <w:rFonts w:ascii="Arial" w:hAnsi="Arial" w:cs="Arial"/>
          <w:sz w:val="20"/>
          <w:szCs w:val="20"/>
        </w:rPr>
        <w:t xml:space="preserve"> en anglais)</w:t>
      </w:r>
      <w:r w:rsidRPr="00496177">
        <w:rPr>
          <w:rFonts w:ascii="Arial" w:hAnsi="Arial" w:cs="Arial"/>
          <w:sz w:val="20"/>
          <w:szCs w:val="20"/>
        </w:rPr>
        <w:t xml:space="preserve"> et seront ouverts aux entreprises </w:t>
      </w:r>
      <w:r>
        <w:rPr>
          <w:rFonts w:ascii="Arial" w:hAnsi="Arial" w:cs="Arial"/>
          <w:sz w:val="20"/>
          <w:szCs w:val="20"/>
        </w:rPr>
        <w:t>internationales</w:t>
      </w:r>
      <w:r w:rsidRPr="00496177">
        <w:rPr>
          <w:rFonts w:ascii="Arial" w:hAnsi="Arial" w:cs="Arial"/>
          <w:sz w:val="20"/>
          <w:szCs w:val="20"/>
        </w:rPr>
        <w:t>. Le</w:t>
      </w:r>
      <w:r>
        <w:rPr>
          <w:rFonts w:ascii="Arial" w:hAnsi="Arial" w:cs="Arial"/>
          <w:sz w:val="20"/>
          <w:szCs w:val="20"/>
        </w:rPr>
        <w:t>s procéd</w:t>
      </w:r>
      <w:r w:rsidRPr="0049617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s du </w:t>
      </w:r>
      <w:r w:rsidRPr="00496177">
        <w:rPr>
          <w:rFonts w:ascii="Arial" w:hAnsi="Arial" w:cs="Arial"/>
          <w:sz w:val="20"/>
          <w:szCs w:val="20"/>
        </w:rPr>
        <w:t xml:space="preserve"> prêt de </w:t>
      </w:r>
      <w:smartTag w:uri="urn:schemas-microsoft-com:office:smarttags" w:element="PersonName">
        <w:smartTagPr>
          <w:attr w:name="ProductID" w:val="la BERD"/>
        </w:smartTagPr>
        <w:r w:rsidRPr="00496177">
          <w:rPr>
            <w:rFonts w:ascii="Arial" w:hAnsi="Arial" w:cs="Arial"/>
            <w:sz w:val="20"/>
            <w:szCs w:val="20"/>
          </w:rPr>
          <w:t>la B</w:t>
        </w:r>
        <w:r>
          <w:rPr>
            <w:rFonts w:ascii="Arial" w:hAnsi="Arial" w:cs="Arial"/>
            <w:sz w:val="20"/>
            <w:szCs w:val="20"/>
          </w:rPr>
          <w:t>ERD</w:t>
        </w:r>
      </w:smartTag>
      <w:r w:rsidRPr="00496177">
        <w:rPr>
          <w:rFonts w:ascii="Arial" w:hAnsi="Arial" w:cs="Arial"/>
          <w:sz w:val="20"/>
          <w:szCs w:val="20"/>
        </w:rPr>
        <w:t xml:space="preserve"> ne </w:t>
      </w:r>
      <w:r>
        <w:rPr>
          <w:rFonts w:ascii="Arial" w:hAnsi="Arial" w:cs="Arial"/>
          <w:sz w:val="20"/>
          <w:szCs w:val="20"/>
        </w:rPr>
        <w:t>pourront</w:t>
      </w:r>
      <w:r w:rsidRPr="00496177">
        <w:rPr>
          <w:rFonts w:ascii="Arial" w:hAnsi="Arial" w:cs="Arial"/>
          <w:sz w:val="20"/>
          <w:szCs w:val="20"/>
        </w:rPr>
        <w:t xml:space="preserve"> pas </w:t>
      </w:r>
      <w:r>
        <w:rPr>
          <w:rFonts w:ascii="Arial" w:hAnsi="Arial" w:cs="Arial"/>
          <w:sz w:val="20"/>
          <w:szCs w:val="20"/>
        </w:rPr>
        <w:t xml:space="preserve">être </w:t>
      </w:r>
      <w:r w:rsidRPr="00496177">
        <w:rPr>
          <w:rFonts w:ascii="Arial" w:hAnsi="Arial" w:cs="Arial"/>
          <w:sz w:val="20"/>
          <w:szCs w:val="20"/>
        </w:rPr>
        <w:t>utilisés à</w:t>
      </w:r>
      <w:r>
        <w:rPr>
          <w:rFonts w:ascii="Arial" w:hAnsi="Arial" w:cs="Arial"/>
          <w:sz w:val="20"/>
          <w:szCs w:val="20"/>
        </w:rPr>
        <w:t xml:space="preserve"> des</w:t>
      </w:r>
      <w:r w:rsidRPr="00496177">
        <w:rPr>
          <w:rFonts w:ascii="Arial" w:hAnsi="Arial" w:cs="Arial"/>
          <w:sz w:val="20"/>
          <w:szCs w:val="20"/>
        </w:rPr>
        <w:t xml:space="preserve"> fins de paiement</w:t>
      </w:r>
      <w:r>
        <w:rPr>
          <w:rFonts w:ascii="Arial" w:hAnsi="Arial" w:cs="Arial"/>
          <w:sz w:val="20"/>
          <w:szCs w:val="20"/>
        </w:rPr>
        <w:t>s</w:t>
      </w:r>
      <w:r w:rsidRPr="00496177">
        <w:rPr>
          <w:rFonts w:ascii="Arial" w:hAnsi="Arial" w:cs="Arial"/>
          <w:sz w:val="20"/>
          <w:szCs w:val="20"/>
        </w:rPr>
        <w:t xml:space="preserve"> à </w:t>
      </w:r>
      <w:r>
        <w:rPr>
          <w:rFonts w:ascii="Arial" w:hAnsi="Arial" w:cs="Arial"/>
          <w:sz w:val="20"/>
          <w:szCs w:val="20"/>
        </w:rPr>
        <w:t>de tierces</w:t>
      </w:r>
      <w:r w:rsidRPr="00496177">
        <w:rPr>
          <w:rFonts w:ascii="Arial" w:hAnsi="Arial" w:cs="Arial"/>
          <w:sz w:val="20"/>
          <w:szCs w:val="20"/>
        </w:rPr>
        <w:t xml:space="preserve"> personnes ou entités, ou pour </w:t>
      </w:r>
      <w:r>
        <w:rPr>
          <w:rFonts w:ascii="Arial" w:hAnsi="Arial" w:cs="Arial"/>
          <w:sz w:val="20"/>
          <w:szCs w:val="20"/>
        </w:rPr>
        <w:t>de l’</w:t>
      </w:r>
      <w:r w:rsidRPr="0049617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mportation de marchandises, si c</w:t>
      </w:r>
      <w:r w:rsidRPr="00496177">
        <w:rPr>
          <w:rFonts w:ascii="Arial" w:hAnsi="Arial" w:cs="Arial"/>
          <w:sz w:val="20"/>
          <w:szCs w:val="20"/>
        </w:rPr>
        <w:t>e paiemen</w:t>
      </w:r>
      <w:r>
        <w:rPr>
          <w:rFonts w:ascii="Arial" w:hAnsi="Arial" w:cs="Arial"/>
          <w:sz w:val="20"/>
          <w:szCs w:val="20"/>
        </w:rPr>
        <w:t>t ou cette importation est interdit</w:t>
      </w:r>
      <w:r w:rsidRPr="00496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 une décision du Conseil de S</w:t>
      </w:r>
      <w:r w:rsidRPr="00496177">
        <w:rPr>
          <w:rFonts w:ascii="Arial" w:hAnsi="Arial" w:cs="Arial"/>
          <w:sz w:val="20"/>
          <w:szCs w:val="20"/>
        </w:rPr>
        <w:t xml:space="preserve">écurité des Nations Unies au titre du Chapitre VII de </w:t>
      </w:r>
      <w:smartTag w:uri="urn:schemas-microsoft-com:office:smarttags" w:element="PersonName">
        <w:smartTagPr>
          <w:attr w:name="ProductID" w:val="la Charte"/>
        </w:smartTagPr>
        <w:r w:rsidRPr="00496177">
          <w:rPr>
            <w:rFonts w:ascii="Arial" w:hAnsi="Arial" w:cs="Arial"/>
            <w:sz w:val="20"/>
            <w:szCs w:val="20"/>
          </w:rPr>
          <w:t>la Charte</w:t>
        </w:r>
      </w:smartTag>
      <w:r w:rsidRPr="00496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Nations Unies ou en vertu du</w:t>
      </w:r>
      <w:r w:rsidRPr="00496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droit officiel</w:t>
      </w:r>
      <w:r w:rsidRPr="00496177">
        <w:rPr>
          <w:rFonts w:ascii="Arial" w:hAnsi="Arial" w:cs="Arial"/>
          <w:sz w:val="20"/>
          <w:szCs w:val="20"/>
        </w:rPr>
        <w:t xml:space="preserve"> du pays de l'Acheteur.</w:t>
      </w:r>
    </w:p>
    <w:p w14:paraId="79857EAC" w14:textId="77777777" w:rsidR="00F42D7F" w:rsidRPr="00DA5DEF" w:rsidRDefault="00F42D7F" w:rsidP="00496177">
      <w:pPr>
        <w:numPr>
          <w:ilvl w:val="12"/>
          <w:numId w:val="0"/>
        </w:numPr>
        <w:ind w:right="-334" w:firstLine="60"/>
        <w:jc w:val="both"/>
        <w:rPr>
          <w:rFonts w:ascii="Arial" w:hAnsi="Arial" w:cs="Arial"/>
          <w:sz w:val="20"/>
          <w:szCs w:val="20"/>
        </w:rPr>
      </w:pPr>
    </w:p>
    <w:p w14:paraId="79857EAD" w14:textId="77777777" w:rsidR="00F42D7F" w:rsidRPr="00DA5DEF" w:rsidRDefault="00F42D7F" w:rsidP="00496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</w:t>
      </w:r>
      <w:r w:rsidRPr="00496177">
        <w:rPr>
          <w:rFonts w:ascii="Arial" w:hAnsi="Arial" w:cs="Arial"/>
          <w:sz w:val="20"/>
          <w:szCs w:val="20"/>
        </w:rPr>
        <w:t xml:space="preserve">ournisseurs, entrepreneurs et consultants </w:t>
      </w:r>
      <w:r>
        <w:rPr>
          <w:rFonts w:ascii="Arial" w:hAnsi="Arial" w:cs="Arial"/>
          <w:sz w:val="20"/>
          <w:szCs w:val="20"/>
        </w:rPr>
        <w:t xml:space="preserve">intéressés </w:t>
      </w:r>
      <w:r w:rsidRPr="0049617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evront</w:t>
      </w:r>
      <w:r w:rsidRPr="00496177">
        <w:rPr>
          <w:rFonts w:ascii="Arial" w:hAnsi="Arial" w:cs="Arial"/>
          <w:sz w:val="20"/>
          <w:szCs w:val="20"/>
        </w:rPr>
        <w:t xml:space="preserve"> contacter:</w:t>
      </w:r>
    </w:p>
    <w:p w14:paraId="79857EAE" w14:textId="77777777" w:rsidR="00F42D7F" w:rsidRPr="00DA5DEF" w:rsidRDefault="00F42D7F" w:rsidP="00502915">
      <w:pPr>
        <w:ind w:left="240"/>
        <w:rPr>
          <w:rFonts w:ascii="Arial" w:hAnsi="Arial" w:cs="Arial"/>
          <w:sz w:val="20"/>
          <w:szCs w:val="20"/>
        </w:rPr>
      </w:pPr>
    </w:p>
    <w:p w14:paraId="79857EAF" w14:textId="14430CAC" w:rsidR="00F42D7F" w:rsidRPr="00B2469A" w:rsidRDefault="00020EAD" w:rsidP="00020E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Madame Bouchra ABDERRAHIM et Monsieur Ahmed FATHI </w:t>
      </w:r>
    </w:p>
    <w:p w14:paraId="79857EB0" w14:textId="77777777" w:rsidR="00F42D7F" w:rsidRPr="00B87563" w:rsidRDefault="00F42D7F" w:rsidP="00020EAD">
      <w:pPr>
        <w:rPr>
          <w:rFonts w:ascii="Arial" w:hAnsi="Arial" w:cs="Arial"/>
          <w:i/>
          <w:sz w:val="20"/>
          <w:szCs w:val="20"/>
        </w:rPr>
      </w:pPr>
      <w:r w:rsidRPr="00B87563">
        <w:rPr>
          <w:rFonts w:ascii="Arial" w:hAnsi="Arial" w:cs="Arial"/>
          <w:i/>
          <w:sz w:val="20"/>
          <w:szCs w:val="20"/>
        </w:rPr>
        <w:t>ONEE-Branche Electricité</w:t>
      </w:r>
    </w:p>
    <w:p w14:paraId="79857EB1" w14:textId="12C924B6" w:rsidR="00F42D7F" w:rsidRPr="00DA5DEF" w:rsidRDefault="00F42D7F" w:rsidP="00276D91">
      <w:pPr>
        <w:rPr>
          <w:rFonts w:ascii="Arial" w:hAnsi="Arial" w:cs="Arial"/>
          <w:i/>
          <w:sz w:val="20"/>
          <w:szCs w:val="20"/>
        </w:rPr>
      </w:pPr>
      <w:r w:rsidRPr="00DA5DEF">
        <w:rPr>
          <w:rFonts w:ascii="Arial" w:hAnsi="Arial" w:cs="Arial"/>
          <w:i/>
          <w:sz w:val="20"/>
          <w:szCs w:val="20"/>
        </w:rPr>
        <w:t xml:space="preserve">65, Rue Othmane </w:t>
      </w:r>
      <w:proofErr w:type="spellStart"/>
      <w:r w:rsidRPr="00DA5DEF">
        <w:rPr>
          <w:rFonts w:ascii="Arial" w:hAnsi="Arial" w:cs="Arial"/>
          <w:i/>
          <w:sz w:val="20"/>
          <w:szCs w:val="20"/>
        </w:rPr>
        <w:t>Bnou</w:t>
      </w:r>
      <w:proofErr w:type="spellEnd"/>
      <w:r w:rsidRPr="00DA5D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A5DEF">
        <w:rPr>
          <w:rFonts w:ascii="Arial" w:hAnsi="Arial" w:cs="Arial"/>
          <w:i/>
          <w:sz w:val="20"/>
          <w:szCs w:val="20"/>
        </w:rPr>
        <w:t>Affane</w:t>
      </w:r>
      <w:proofErr w:type="spellEnd"/>
      <w:r w:rsidRPr="00DA5DEF">
        <w:rPr>
          <w:rFonts w:ascii="Arial" w:hAnsi="Arial" w:cs="Arial"/>
          <w:i/>
          <w:sz w:val="20"/>
          <w:szCs w:val="20"/>
        </w:rPr>
        <w:t xml:space="preserve"> Casablanca MAROC</w:t>
      </w:r>
      <w:r w:rsidRPr="00DA5DEF">
        <w:rPr>
          <w:rFonts w:ascii="Arial" w:hAnsi="Arial" w:cs="Arial"/>
          <w:i/>
          <w:sz w:val="20"/>
          <w:szCs w:val="20"/>
        </w:rPr>
        <w:br/>
      </w:r>
      <w:r w:rsidR="00020EAD" w:rsidRPr="00DA5DEF">
        <w:rPr>
          <w:rFonts w:ascii="Arial" w:hAnsi="Arial" w:cs="Arial"/>
          <w:i/>
          <w:sz w:val="20"/>
          <w:szCs w:val="20"/>
        </w:rPr>
        <w:t>Emails :</w:t>
      </w:r>
      <w:r w:rsidRPr="00DA5DEF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020EAD" w:rsidRPr="003E777F">
          <w:rPr>
            <w:rStyle w:val="Lienhypertexte"/>
            <w:rFonts w:ascii="Arial" w:hAnsi="Arial" w:cs="Arial"/>
            <w:i/>
            <w:sz w:val="20"/>
            <w:szCs w:val="20"/>
          </w:rPr>
          <w:t>abderrahim@onee.ma</w:t>
        </w:r>
      </w:hyperlink>
      <w:r>
        <w:rPr>
          <w:rFonts w:ascii="Arial" w:hAnsi="Arial" w:cs="Arial"/>
          <w:i/>
          <w:sz w:val="20"/>
          <w:szCs w:val="20"/>
        </w:rPr>
        <w:t xml:space="preserve"> ou</w:t>
      </w:r>
      <w:r w:rsidRPr="00DA5DEF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Pr="00B2469A">
          <w:rPr>
            <w:rStyle w:val="Lienhypertexte"/>
            <w:rFonts w:ascii="Arial" w:hAnsi="Arial" w:cs="Arial"/>
            <w:i/>
            <w:sz w:val="20"/>
            <w:szCs w:val="20"/>
          </w:rPr>
          <w:t>fathi@on</w:t>
        </w:r>
        <w:r w:rsidRPr="00AE7DEE">
          <w:rPr>
            <w:rStyle w:val="Lienhypertexte"/>
            <w:rFonts w:ascii="Arial" w:hAnsi="Arial" w:cs="Arial"/>
            <w:i/>
            <w:sz w:val="20"/>
            <w:szCs w:val="20"/>
          </w:rPr>
          <w:t>ee.ma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DD530B">
        <w:rPr>
          <w:rFonts w:ascii="Arial" w:hAnsi="Arial" w:cs="Arial"/>
          <w:i/>
          <w:sz w:val="20"/>
          <w:szCs w:val="20"/>
        </w:rPr>
        <w:br/>
      </w:r>
    </w:p>
    <w:p w14:paraId="79857EB2" w14:textId="499213E3" w:rsidR="00F42D7F" w:rsidRPr="00DA5DEF" w:rsidRDefault="00F42D7F" w:rsidP="00020EAD">
      <w:pPr>
        <w:rPr>
          <w:rFonts w:ascii="Arial" w:hAnsi="Arial" w:cs="Arial"/>
          <w:i/>
          <w:sz w:val="20"/>
          <w:szCs w:val="20"/>
          <w:lang w:val="en-US"/>
        </w:rPr>
      </w:pPr>
      <w:r w:rsidRPr="00DA5DEF">
        <w:rPr>
          <w:rFonts w:ascii="Arial" w:hAnsi="Arial" w:cs="Arial"/>
          <w:i/>
          <w:sz w:val="20"/>
          <w:szCs w:val="20"/>
          <w:lang w:val="en-US"/>
        </w:rPr>
        <w:t xml:space="preserve">Fax 00212 5 22 </w:t>
      </w:r>
      <w:r>
        <w:rPr>
          <w:rFonts w:ascii="Arial" w:hAnsi="Arial" w:cs="Arial"/>
          <w:i/>
          <w:sz w:val="20"/>
          <w:szCs w:val="20"/>
          <w:lang w:val="en-US"/>
        </w:rPr>
        <w:t>66 86 79</w:t>
      </w:r>
    </w:p>
    <w:p w14:paraId="79857EB3" w14:textId="77777777" w:rsidR="00F42D7F" w:rsidRPr="00DA5DEF" w:rsidRDefault="00F42D7F" w:rsidP="00200701">
      <w:pPr>
        <w:ind w:left="24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F42D7F" w:rsidRPr="00DA5DEF" w:rsidSect="002A1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E11C" w14:textId="77777777" w:rsidR="00423F8C" w:rsidRDefault="00423F8C" w:rsidP="00594CA6">
      <w:r>
        <w:separator/>
      </w:r>
    </w:p>
  </w:endnote>
  <w:endnote w:type="continuationSeparator" w:id="0">
    <w:p w14:paraId="5CF8F5D8" w14:textId="77777777" w:rsidR="00423F8C" w:rsidRDefault="00423F8C" w:rsidP="0059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F15B" w14:textId="77777777" w:rsidR="00423F8C" w:rsidRDefault="00423F8C" w:rsidP="00594CA6">
      <w:r>
        <w:separator/>
      </w:r>
    </w:p>
  </w:footnote>
  <w:footnote w:type="continuationSeparator" w:id="0">
    <w:p w14:paraId="5A26E012" w14:textId="77777777" w:rsidR="00423F8C" w:rsidRDefault="00423F8C" w:rsidP="0059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3F"/>
    <w:multiLevelType w:val="hybridMultilevel"/>
    <w:tmpl w:val="73D2C734"/>
    <w:lvl w:ilvl="0" w:tplc="3D1471F6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F7558F"/>
    <w:multiLevelType w:val="hybridMultilevel"/>
    <w:tmpl w:val="28F0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5B2"/>
    <w:multiLevelType w:val="hybridMultilevel"/>
    <w:tmpl w:val="65CE2172"/>
    <w:lvl w:ilvl="0" w:tplc="5BEE46B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45C6E"/>
    <w:multiLevelType w:val="hybridMultilevel"/>
    <w:tmpl w:val="3EA8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21D8"/>
    <w:multiLevelType w:val="hybridMultilevel"/>
    <w:tmpl w:val="37C0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FF8"/>
    <w:multiLevelType w:val="multilevel"/>
    <w:tmpl w:val="EE143E26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6">
    <w:nsid w:val="6326704C"/>
    <w:multiLevelType w:val="hybridMultilevel"/>
    <w:tmpl w:val="89B8E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5"/>
    <w:rsid w:val="0000054F"/>
    <w:rsid w:val="00012637"/>
    <w:rsid w:val="00020EAD"/>
    <w:rsid w:val="0004526F"/>
    <w:rsid w:val="0006685B"/>
    <w:rsid w:val="00071A50"/>
    <w:rsid w:val="000D5625"/>
    <w:rsid w:val="000F4848"/>
    <w:rsid w:val="00101829"/>
    <w:rsid w:val="0013201C"/>
    <w:rsid w:val="001642B3"/>
    <w:rsid w:val="0017336B"/>
    <w:rsid w:val="001A2500"/>
    <w:rsid w:val="001A75E9"/>
    <w:rsid w:val="001B4604"/>
    <w:rsid w:val="001C6F0E"/>
    <w:rsid w:val="001C736F"/>
    <w:rsid w:val="00200701"/>
    <w:rsid w:val="0021438D"/>
    <w:rsid w:val="0023684B"/>
    <w:rsid w:val="00271B95"/>
    <w:rsid w:val="0027435B"/>
    <w:rsid w:val="00276D91"/>
    <w:rsid w:val="002A1518"/>
    <w:rsid w:val="00333A17"/>
    <w:rsid w:val="003A506B"/>
    <w:rsid w:val="003B4E28"/>
    <w:rsid w:val="00423F8C"/>
    <w:rsid w:val="00442239"/>
    <w:rsid w:val="00447C52"/>
    <w:rsid w:val="00474D22"/>
    <w:rsid w:val="00486E45"/>
    <w:rsid w:val="00496177"/>
    <w:rsid w:val="00502915"/>
    <w:rsid w:val="00514C8F"/>
    <w:rsid w:val="005169B7"/>
    <w:rsid w:val="00587971"/>
    <w:rsid w:val="00594CA6"/>
    <w:rsid w:val="005C2121"/>
    <w:rsid w:val="005E7EE8"/>
    <w:rsid w:val="006024AE"/>
    <w:rsid w:val="00625ECA"/>
    <w:rsid w:val="00677C28"/>
    <w:rsid w:val="006B51C5"/>
    <w:rsid w:val="006D4FDB"/>
    <w:rsid w:val="006D772D"/>
    <w:rsid w:val="006E7AED"/>
    <w:rsid w:val="0075176E"/>
    <w:rsid w:val="00781B03"/>
    <w:rsid w:val="007B48BE"/>
    <w:rsid w:val="007D6ADF"/>
    <w:rsid w:val="00810528"/>
    <w:rsid w:val="0086703E"/>
    <w:rsid w:val="008932CE"/>
    <w:rsid w:val="008D010C"/>
    <w:rsid w:val="00917C65"/>
    <w:rsid w:val="0094175C"/>
    <w:rsid w:val="0099743B"/>
    <w:rsid w:val="009C6C21"/>
    <w:rsid w:val="009D7871"/>
    <w:rsid w:val="009E1E41"/>
    <w:rsid w:val="00A02D25"/>
    <w:rsid w:val="00A72855"/>
    <w:rsid w:val="00AA4144"/>
    <w:rsid w:val="00AB0D02"/>
    <w:rsid w:val="00AB6672"/>
    <w:rsid w:val="00AE7DEE"/>
    <w:rsid w:val="00B01FF0"/>
    <w:rsid w:val="00B03CE1"/>
    <w:rsid w:val="00B06307"/>
    <w:rsid w:val="00B12598"/>
    <w:rsid w:val="00B2469A"/>
    <w:rsid w:val="00B61227"/>
    <w:rsid w:val="00B67E5F"/>
    <w:rsid w:val="00B87563"/>
    <w:rsid w:val="00BC4246"/>
    <w:rsid w:val="00BE3197"/>
    <w:rsid w:val="00BF5016"/>
    <w:rsid w:val="00C13109"/>
    <w:rsid w:val="00C24D68"/>
    <w:rsid w:val="00C40706"/>
    <w:rsid w:val="00C430B4"/>
    <w:rsid w:val="00C622DC"/>
    <w:rsid w:val="00C848BF"/>
    <w:rsid w:val="00C971B7"/>
    <w:rsid w:val="00CA2EF2"/>
    <w:rsid w:val="00CD7BBA"/>
    <w:rsid w:val="00D10BB3"/>
    <w:rsid w:val="00D126D9"/>
    <w:rsid w:val="00D53EBB"/>
    <w:rsid w:val="00D621ED"/>
    <w:rsid w:val="00D63F9B"/>
    <w:rsid w:val="00D86321"/>
    <w:rsid w:val="00DA0F7B"/>
    <w:rsid w:val="00DA2B31"/>
    <w:rsid w:val="00DA5DEF"/>
    <w:rsid w:val="00DC3540"/>
    <w:rsid w:val="00DD530B"/>
    <w:rsid w:val="00E139CA"/>
    <w:rsid w:val="00E16C93"/>
    <w:rsid w:val="00E46FCB"/>
    <w:rsid w:val="00E7545E"/>
    <w:rsid w:val="00E76BD3"/>
    <w:rsid w:val="00E9273B"/>
    <w:rsid w:val="00EA1537"/>
    <w:rsid w:val="00EB1B3B"/>
    <w:rsid w:val="00EB27CE"/>
    <w:rsid w:val="00ED18FC"/>
    <w:rsid w:val="00F2651D"/>
    <w:rsid w:val="00F42D7F"/>
    <w:rsid w:val="00F435C6"/>
    <w:rsid w:val="00F6595B"/>
    <w:rsid w:val="00F7181D"/>
    <w:rsid w:val="00F862B3"/>
    <w:rsid w:val="00FC0363"/>
    <w:rsid w:val="00FC05D9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85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15"/>
    <w:rPr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qFormat/>
    <w:locked/>
    <w:rsid w:val="007D6ADF"/>
    <w:pPr>
      <w:keepNext/>
      <w:keepLines/>
      <w:spacing w:before="240" w:after="240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har1">
    <w:name w:val="Char Char1"/>
    <w:aliases w:val="Char Char1 Char Char Char"/>
    <w:basedOn w:val="Normal"/>
    <w:uiPriority w:val="99"/>
    <w:rsid w:val="00502915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character" w:styleId="Marquedecommentaire">
    <w:name w:val="annotation reference"/>
    <w:basedOn w:val="Policepardfaut"/>
    <w:uiPriority w:val="99"/>
    <w:semiHidden/>
    <w:rsid w:val="0044223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42239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42239"/>
    <w:rPr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2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42239"/>
    <w:rPr>
      <w:b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442239"/>
    <w:rPr>
      <w:rFonts w:ascii="Tahoma" w:hAnsi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2239"/>
    <w:rPr>
      <w:rFonts w:ascii="Tahoma" w:hAnsi="Tahoma"/>
      <w:sz w:val="16"/>
      <w:lang w:val="en-GB" w:eastAsia="en-GB"/>
    </w:rPr>
  </w:style>
  <w:style w:type="character" w:styleId="Lienhypertexte">
    <w:name w:val="Hyperlink"/>
    <w:basedOn w:val="Policepardfaut"/>
    <w:uiPriority w:val="99"/>
    <w:rsid w:val="0094175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94CA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94CA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94CA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4CA6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961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D6ADF"/>
    <w:rPr>
      <w:rFonts w:ascii="Cambria" w:hAnsi="Cambria"/>
      <w:b/>
      <w:kern w:val="32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15"/>
    <w:rPr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qFormat/>
    <w:locked/>
    <w:rsid w:val="007D6ADF"/>
    <w:pPr>
      <w:keepNext/>
      <w:keepLines/>
      <w:spacing w:before="240" w:after="240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har1">
    <w:name w:val="Char Char1"/>
    <w:aliases w:val="Char Char1 Char Char Char"/>
    <w:basedOn w:val="Normal"/>
    <w:uiPriority w:val="99"/>
    <w:rsid w:val="00502915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  <w:style w:type="character" w:styleId="Marquedecommentaire">
    <w:name w:val="annotation reference"/>
    <w:basedOn w:val="Policepardfaut"/>
    <w:uiPriority w:val="99"/>
    <w:semiHidden/>
    <w:rsid w:val="0044223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42239"/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42239"/>
    <w:rPr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2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42239"/>
    <w:rPr>
      <w:b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442239"/>
    <w:rPr>
      <w:rFonts w:ascii="Tahoma" w:hAnsi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2239"/>
    <w:rPr>
      <w:rFonts w:ascii="Tahoma" w:hAnsi="Tahoma"/>
      <w:sz w:val="16"/>
      <w:lang w:val="en-GB" w:eastAsia="en-GB"/>
    </w:rPr>
  </w:style>
  <w:style w:type="character" w:styleId="Lienhypertexte">
    <w:name w:val="Hyperlink"/>
    <w:basedOn w:val="Policepardfaut"/>
    <w:uiPriority w:val="99"/>
    <w:rsid w:val="0094175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94CA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94CA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94CA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4CA6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961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D6ADF"/>
    <w:rPr>
      <w:rFonts w:ascii="Cambria" w:hAnsi="Cambria"/>
      <w:b/>
      <w:kern w:val="32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rrahim@onee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thi@onee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name</vt:lpstr>
    </vt:vector>
  </TitlesOfParts>
  <Company>EBRD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jamtenl</dc:creator>
  <cp:keywords>[EBRD/PERSONAL]</cp:keywords>
  <cp:lastModifiedBy>ABDERRAHIM Bouchra</cp:lastModifiedBy>
  <cp:revision>2</cp:revision>
  <dcterms:created xsi:type="dcterms:W3CDTF">2016-08-30T11:57:00Z</dcterms:created>
  <dcterms:modified xsi:type="dcterms:W3CDTF">2016-08-30T11:57:00Z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00946afa-d7eb-4c37-b582-23c6e615ffb3</vt:lpwstr>
  </property>
  <property fmtid="{D5CDD505-2E9C-101B-9397-08002B2CF9AE}" pid="3" name="bjSaver">
    <vt:lpwstr>Vy+HLE7u7V6bVr1nF0WMzjyQzuCjWm0z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PERSONAL</vt:lpwstr>
  </property>
  <property fmtid="{D5CDD505-2E9C-101B-9397-08002B2CF9AE}" pid="7" name="bjDocumentLabelFieldCode">
    <vt:lpwstr>PERSONAL</vt:lpwstr>
  </property>
</Properties>
</file>